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ECDA" w14:textId="7013CA77" w:rsidR="00784BFE" w:rsidRPr="00784BFE" w:rsidRDefault="00784BFE" w:rsidP="00784BFE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63"/>
      <w:r w:rsidRPr="00784BF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XI. Modelo de ficha de seguimiento</w:t>
      </w:r>
      <w:bookmarkEnd w:id="0"/>
    </w:p>
    <w:tbl>
      <w:tblPr>
        <w:tblStyle w:val="Tabladecuadrcula5oscura-nfasis111"/>
        <w:tblW w:w="5004" w:type="pct"/>
        <w:tblLook w:val="04A0" w:firstRow="1" w:lastRow="0" w:firstColumn="1" w:lastColumn="0" w:noHBand="0" w:noVBand="1"/>
      </w:tblPr>
      <w:tblGrid>
        <w:gridCol w:w="3111"/>
        <w:gridCol w:w="2289"/>
        <w:gridCol w:w="2057"/>
        <w:gridCol w:w="234"/>
        <w:gridCol w:w="1666"/>
      </w:tblGrid>
      <w:tr w:rsidR="00784BFE" w:rsidRPr="00784BFE" w14:paraId="328EFCE1" w14:textId="77777777" w:rsidTr="0078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98E98"/>
            <w:vAlign w:val="center"/>
          </w:tcPr>
          <w:p w14:paraId="45BE59FC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FICHA DE SEGUIMIENTO DE MEDIDAS</w:t>
            </w:r>
          </w:p>
        </w:tc>
      </w:tr>
      <w:tr w:rsidR="00784BFE" w:rsidRPr="00784BFE" w14:paraId="39AA2BEC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  <w:hideMark/>
          </w:tcPr>
          <w:p w14:paraId="3287FF88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Medida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  <w:hideMark/>
          </w:tcPr>
          <w:p w14:paraId="2662DC4D" w14:textId="6B12B590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61813989" w14:textId="77777777" w:rsidTr="00784BFE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5063CE2E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Persona/Departamento responsable</w:t>
            </w:r>
          </w:p>
        </w:tc>
        <w:tc>
          <w:tcPr>
            <w:tcW w:w="3337" w:type="pct"/>
            <w:gridSpan w:val="4"/>
            <w:shd w:val="clear" w:color="auto" w:fill="E4E7E8"/>
            <w:vAlign w:val="center"/>
            <w:hideMark/>
          </w:tcPr>
          <w:p w14:paraId="1FE9A590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198A4993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35892DC3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Fecha implantación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6AAD6861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77573583" w14:textId="77777777" w:rsidTr="00784BF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69355B4D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Fecha de seguimiento</w:t>
            </w:r>
          </w:p>
        </w:tc>
        <w:tc>
          <w:tcPr>
            <w:tcW w:w="3337" w:type="pct"/>
            <w:gridSpan w:val="4"/>
            <w:shd w:val="clear" w:color="auto" w:fill="E4E7E8"/>
            <w:vAlign w:val="center"/>
            <w:hideMark/>
          </w:tcPr>
          <w:p w14:paraId="3EFC7D14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6CB8BBCD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67ACED35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Cumplimentado por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7014E597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3A8C73F1" w14:textId="77777777" w:rsidTr="00784BFE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98E98"/>
            <w:vAlign w:val="center"/>
          </w:tcPr>
          <w:p w14:paraId="0609A1AF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Indicadores de seguimiento</w:t>
            </w:r>
          </w:p>
        </w:tc>
      </w:tr>
      <w:tr w:rsidR="00784BFE" w:rsidRPr="00784BFE" w14:paraId="65D5D09E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3948B553" w14:textId="46FDACEB" w:rsidR="00784BFE" w:rsidRPr="00DD6E11" w:rsidRDefault="00784BFE" w:rsidP="00784BF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DD6E11">
              <w:rPr>
                <w:rFonts w:eastAsia="Times New Roman"/>
                <w:i/>
                <w:iCs/>
                <w:sz w:val="18"/>
                <w:szCs w:val="18"/>
              </w:rPr>
              <w:t xml:space="preserve">[Trasladar todos los indicadores incluidos en la ficha de medidas </w:t>
            </w:r>
            <w:r w:rsidRPr="00DD6E11">
              <w:rPr>
                <w:rFonts w:eastAsia="Times New Roman"/>
                <w:i/>
                <w:iCs/>
                <w:sz w:val="14"/>
                <w:szCs w:val="14"/>
              </w:rPr>
              <w:t xml:space="preserve">(Anexo </w:t>
            </w:r>
            <w:proofErr w:type="gramStart"/>
            <w:r w:rsidRPr="00DD6E11">
              <w:rPr>
                <w:rFonts w:eastAsia="Times New Roman"/>
                <w:i/>
                <w:iCs/>
                <w:sz w:val="14"/>
                <w:szCs w:val="14"/>
              </w:rPr>
              <w:t xml:space="preserve">VIII </w:t>
            </w:r>
            <w:r w:rsidR="00DD6E11" w:rsidRPr="00DD6E11">
              <w:rPr>
                <w:rFonts w:eastAsia="Times New Roman"/>
                <w:i/>
                <w:iCs/>
                <w:sz w:val="14"/>
                <w:szCs w:val="14"/>
              </w:rPr>
              <w:t>)</w:t>
            </w:r>
            <w:proofErr w:type="gramEnd"/>
            <w:r w:rsidR="00DD6E11" w:rsidRPr="00DD6E11">
              <w:rPr>
                <w:rFonts w:eastAsia="Times New Roman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356103A6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65CC2EB0" w14:textId="77777777" w:rsidTr="00784BF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98E98"/>
            <w:vAlign w:val="center"/>
          </w:tcPr>
          <w:p w14:paraId="56B12B04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Indicadores de resultado</w:t>
            </w:r>
          </w:p>
        </w:tc>
      </w:tr>
      <w:tr w:rsidR="00784BFE" w:rsidRPr="00784BFE" w14:paraId="221705FB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652807E7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Nivel de ejecución</w:t>
            </w:r>
          </w:p>
        </w:tc>
        <w:tc>
          <w:tcPr>
            <w:tcW w:w="1223" w:type="pct"/>
            <w:shd w:val="clear" w:color="auto" w:fill="C9D0D1"/>
            <w:vAlign w:val="center"/>
          </w:tcPr>
          <w:p w14:paraId="4BC40D52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Gill Sans MT"/>
                <w:sz w:val="18"/>
                <w:szCs w:val="18"/>
              </w:rPr>
            </w:pPr>
            <w:r w:rsidRPr="00784BFE">
              <w:rPr>
                <w:rFonts w:eastAsia="Webdings" w:cs="Webdings"/>
                <w:b/>
                <w:color w:val="398E98"/>
                <w:sz w:val="18"/>
                <w:szCs w:val="18"/>
              </w:rPr>
              <w:t></w:t>
            </w:r>
            <w:r w:rsidRPr="00784BFE">
              <w:rPr>
                <w:rFonts w:eastAsia="Times New Roman"/>
                <w:b/>
                <w:color w:val="578793"/>
                <w:sz w:val="18"/>
                <w:szCs w:val="18"/>
              </w:rPr>
              <w:t xml:space="preserve"> </w:t>
            </w:r>
            <w:r w:rsidRPr="00784BFE">
              <w:rPr>
                <w:rFonts w:eastAsia="Times New Roman"/>
                <w:sz w:val="18"/>
                <w:szCs w:val="18"/>
              </w:rPr>
              <w:t>Pendiente</w:t>
            </w:r>
          </w:p>
        </w:tc>
        <w:tc>
          <w:tcPr>
            <w:tcW w:w="1224" w:type="pct"/>
            <w:gridSpan w:val="2"/>
            <w:shd w:val="clear" w:color="auto" w:fill="C9D0D1"/>
            <w:vAlign w:val="center"/>
          </w:tcPr>
          <w:p w14:paraId="3B3FEBEA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ebdings" w:cs="Webdings"/>
                <w:b/>
                <w:color w:val="398E98"/>
                <w:sz w:val="18"/>
                <w:szCs w:val="18"/>
              </w:rPr>
              <w:t></w:t>
            </w:r>
            <w:r w:rsidRPr="00784BFE">
              <w:rPr>
                <w:rFonts w:eastAsia="Times New Roman"/>
                <w:b/>
                <w:color w:val="398E98"/>
                <w:sz w:val="18"/>
                <w:szCs w:val="18"/>
              </w:rPr>
              <w:t xml:space="preserve"> </w:t>
            </w:r>
            <w:r w:rsidRPr="00784BFE">
              <w:rPr>
                <w:rFonts w:eastAsia="Times New Roman"/>
                <w:sz w:val="18"/>
                <w:szCs w:val="18"/>
              </w:rPr>
              <w:t>En ejecución</w:t>
            </w:r>
          </w:p>
        </w:tc>
        <w:tc>
          <w:tcPr>
            <w:tcW w:w="890" w:type="pct"/>
            <w:shd w:val="clear" w:color="auto" w:fill="C9D0D1"/>
            <w:vAlign w:val="center"/>
          </w:tcPr>
          <w:p w14:paraId="1E4A43C8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Gill Sans MT"/>
                <w:sz w:val="18"/>
                <w:szCs w:val="18"/>
              </w:rPr>
            </w:pPr>
            <w:r w:rsidRPr="00784BFE">
              <w:rPr>
                <w:rFonts w:eastAsia="Webdings" w:cs="Webdings"/>
                <w:b/>
                <w:color w:val="398E98"/>
                <w:sz w:val="18"/>
                <w:szCs w:val="18"/>
              </w:rPr>
              <w:t></w:t>
            </w:r>
            <w:r w:rsidRPr="00784BFE">
              <w:rPr>
                <w:rFonts w:eastAsia="Times New Roman"/>
                <w:b/>
                <w:color w:val="398E98"/>
                <w:sz w:val="18"/>
                <w:szCs w:val="18"/>
              </w:rPr>
              <w:t xml:space="preserve"> </w:t>
            </w:r>
            <w:r w:rsidRPr="00784BFE">
              <w:rPr>
                <w:rFonts w:eastAsia="Times New Roman"/>
                <w:sz w:val="18"/>
                <w:szCs w:val="18"/>
              </w:rPr>
              <w:t>Finalizada</w:t>
            </w:r>
          </w:p>
        </w:tc>
      </w:tr>
      <w:tr w:rsidR="00784BFE" w:rsidRPr="00784BFE" w14:paraId="588083A0" w14:textId="77777777" w:rsidTr="00784BF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 w:val="restart"/>
            <w:shd w:val="clear" w:color="auto" w:fill="398E98"/>
            <w:vAlign w:val="center"/>
          </w:tcPr>
          <w:p w14:paraId="684D3C1B" w14:textId="77777777" w:rsidR="00784BFE" w:rsidRPr="00784BFE" w:rsidRDefault="00784BFE" w:rsidP="00784BFE">
            <w:pPr>
              <w:rPr>
                <w:rFonts w:eastAsia="Times New Roman" w:cs="Gill Sans MT"/>
                <w:kern w:val="24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Indicar el motivo por el que la medida no se ha iniciado o completado totalmente</w:t>
            </w: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7607D469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Falta de recursos humanos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256CC2F9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5FB1D2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290637DD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554681AB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0CE95038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Falta de recursos materiales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6DB738AD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7918E84F" w14:textId="77777777" w:rsidTr="00784BF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6E99EC3A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22087032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 xml:space="preserve">Falta de tiempo 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38C50335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2408C9D0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4B9519A8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32061EB8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Falta de participación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2FD546C5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79008546" w14:textId="77777777" w:rsidTr="00784BF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0032E6AA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3BC7C0C7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 xml:space="preserve">Descoordinación con otros departamentos 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793B74E6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5ED4DD79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2405DA06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0F89DAF2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Desconocimiento del desarrollo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36A12352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68918B29" w14:textId="77777777" w:rsidTr="00784BF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vMerge/>
            <w:shd w:val="clear" w:color="auto" w:fill="398E98"/>
            <w:vAlign w:val="center"/>
          </w:tcPr>
          <w:p w14:paraId="27415F3F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2" w:type="pct"/>
            <w:gridSpan w:val="2"/>
            <w:tcBorders>
              <w:right w:val="nil"/>
            </w:tcBorders>
            <w:shd w:val="clear" w:color="auto" w:fill="E4E7E8"/>
          </w:tcPr>
          <w:p w14:paraId="11EFCA22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Otros motivos (especificar)</w:t>
            </w:r>
          </w:p>
        </w:tc>
        <w:tc>
          <w:tcPr>
            <w:tcW w:w="1016" w:type="pct"/>
            <w:gridSpan w:val="2"/>
            <w:tcBorders>
              <w:right w:val="nil"/>
            </w:tcBorders>
            <w:shd w:val="clear" w:color="auto" w:fill="E4E7E8"/>
            <w:vAlign w:val="center"/>
          </w:tcPr>
          <w:p w14:paraId="372A3073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Wingdings" w:cs="Wingdings"/>
                <w:b/>
                <w:bCs/>
                <w:noProof/>
                <w:color w:val="5FB1D2"/>
                <w:sz w:val="18"/>
                <w:szCs w:val="18"/>
              </w:rPr>
              <w:t></w:t>
            </w:r>
          </w:p>
        </w:tc>
      </w:tr>
      <w:tr w:rsidR="00784BFE" w:rsidRPr="00784BFE" w14:paraId="06F8B7D7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98E98"/>
            <w:vAlign w:val="center"/>
          </w:tcPr>
          <w:p w14:paraId="32948680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Indicadores de proceso</w:t>
            </w:r>
          </w:p>
        </w:tc>
      </w:tr>
      <w:tr w:rsidR="00784BFE" w:rsidRPr="00784BFE" w14:paraId="6728075A" w14:textId="77777777" w:rsidTr="00784BF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0EB176B2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Adecuación de los recursos asignados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492337FF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1B1589D5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05AF001C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Dificultades y barreras encontradas para la implantación</w:t>
            </w:r>
          </w:p>
        </w:tc>
        <w:tc>
          <w:tcPr>
            <w:tcW w:w="3337" w:type="pct"/>
            <w:gridSpan w:val="4"/>
            <w:shd w:val="clear" w:color="auto" w:fill="E4E7E8"/>
            <w:vAlign w:val="center"/>
          </w:tcPr>
          <w:p w14:paraId="25A3E1AE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04FBFEAB" w14:textId="77777777" w:rsidTr="00784BF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24557E02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Soluciones adoptadas (en su caso)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7ECFCD18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1F634D04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98E98"/>
            <w:vAlign w:val="center"/>
          </w:tcPr>
          <w:p w14:paraId="52659DCB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Indicadores de impacto</w:t>
            </w:r>
          </w:p>
        </w:tc>
      </w:tr>
      <w:tr w:rsidR="00784BFE" w:rsidRPr="00784BFE" w14:paraId="10E26046" w14:textId="77777777" w:rsidTr="00784BF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3F8E44E1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Reducción de desigualdades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4FF54EF1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2F99D1A7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57942669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Mejoras producidas</w:t>
            </w:r>
          </w:p>
        </w:tc>
        <w:tc>
          <w:tcPr>
            <w:tcW w:w="3337" w:type="pct"/>
            <w:gridSpan w:val="4"/>
            <w:shd w:val="clear" w:color="auto" w:fill="E4E7E8"/>
            <w:vAlign w:val="center"/>
          </w:tcPr>
          <w:p w14:paraId="699260D6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3E2EFDEF" w14:textId="77777777" w:rsidTr="00784BF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3B0CBA53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Propuestas de futuro</w:t>
            </w:r>
          </w:p>
        </w:tc>
        <w:tc>
          <w:tcPr>
            <w:tcW w:w="3337" w:type="pct"/>
            <w:gridSpan w:val="4"/>
            <w:shd w:val="clear" w:color="auto" w:fill="C9D0D1"/>
            <w:vAlign w:val="center"/>
          </w:tcPr>
          <w:p w14:paraId="7254E701" w14:textId="77777777" w:rsidR="00784BFE" w:rsidRPr="00784BFE" w:rsidRDefault="00784BFE" w:rsidP="007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784BFE" w:rsidRPr="00784BFE" w14:paraId="27813033" w14:textId="77777777" w:rsidTr="007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398E98"/>
            <w:vAlign w:val="center"/>
          </w:tcPr>
          <w:p w14:paraId="2BD09B4F" w14:textId="77777777" w:rsidR="00784BFE" w:rsidRPr="00784BFE" w:rsidRDefault="00784BFE" w:rsidP="00784BFE">
            <w:pPr>
              <w:rPr>
                <w:rFonts w:eastAsia="Times New Roman"/>
                <w:sz w:val="18"/>
                <w:szCs w:val="18"/>
              </w:rPr>
            </w:pPr>
            <w:r w:rsidRPr="00784BFE">
              <w:rPr>
                <w:rFonts w:eastAsia="Times New Roman"/>
                <w:sz w:val="18"/>
                <w:szCs w:val="18"/>
              </w:rPr>
              <w:t>Documentación acreditativa de la ejecución de la medida</w:t>
            </w:r>
            <w:bookmarkStart w:id="1" w:name="_GoBack"/>
            <w:bookmarkEnd w:id="1"/>
          </w:p>
        </w:tc>
        <w:tc>
          <w:tcPr>
            <w:tcW w:w="3337" w:type="pct"/>
            <w:gridSpan w:val="4"/>
            <w:shd w:val="clear" w:color="auto" w:fill="E4E7E8"/>
            <w:vAlign w:val="center"/>
          </w:tcPr>
          <w:p w14:paraId="7CE2E53C" w14:textId="77777777" w:rsidR="00784BFE" w:rsidRPr="00784BFE" w:rsidRDefault="00784BFE" w:rsidP="007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83FE2DE" w14:textId="77777777" w:rsidR="00D045F5" w:rsidRPr="00784BFE" w:rsidRDefault="00D045F5" w:rsidP="00DD6E11">
      <w:pPr>
        <w:rPr>
          <w:lang w:val="es-ES"/>
        </w:rPr>
      </w:pPr>
    </w:p>
    <w:sectPr w:rsidR="00D045F5" w:rsidRPr="00784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E"/>
    <w:rsid w:val="001000C1"/>
    <w:rsid w:val="00784BFE"/>
    <w:rsid w:val="00D045F5"/>
    <w:rsid w:val="00D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477C"/>
  <w15:chartTrackingRefBased/>
  <w15:docId w15:val="{E9798546-FE6F-4012-903A-F3470EC6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5oscura-nfasis11">
    <w:name w:val="Tabla de cuadrícula 5 oscura - Énfasis 11"/>
    <w:basedOn w:val="Tablanormal"/>
    <w:uiPriority w:val="50"/>
    <w:rsid w:val="00784BF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table" w:customStyle="1" w:styleId="Tabladecuadrcula5oscura-nfasis111">
    <w:name w:val="Tabla de cuadrícula 5 oscura - Énfasis 111"/>
    <w:basedOn w:val="Tablanormal"/>
    <w:uiPriority w:val="50"/>
    <w:rsid w:val="00784BF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3</cp:revision>
  <dcterms:created xsi:type="dcterms:W3CDTF">2021-10-06T08:20:00Z</dcterms:created>
  <dcterms:modified xsi:type="dcterms:W3CDTF">2021-10-14T11:44:00Z</dcterms:modified>
</cp:coreProperties>
</file>